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82" w:rsidRDefault="001B2982" w:rsidP="001B2982">
      <w:pPr>
        <w:jc w:val="center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ОПРЕДЕЛЕНИЕ ЭКОНОМИЧЕСКОЙ ЭФФЕКТИВНОСТИ ВНЕДРЕНИЯ НОВОЙ ТЕХНИКИ</w:t>
      </w:r>
    </w:p>
    <w:p w:rsidR="001B2982" w:rsidRDefault="001B2982" w:rsidP="001B2982">
      <w:pPr>
        <w:jc w:val="center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pStyle w:val="2"/>
        <w:ind w:firstLine="567"/>
      </w:pPr>
      <w:r>
        <w:t>Замена менее совершенных устройств СЦБ более совершен</w:t>
      </w:r>
      <w:r>
        <w:softHyphen/>
        <w:t xml:space="preserve">ными на перегонах и станциях существенно </w:t>
      </w:r>
      <w:proofErr w:type="gramStart"/>
      <w:r>
        <w:t>изменяет</w:t>
      </w:r>
      <w:proofErr w:type="gramEnd"/>
      <w:r>
        <w:t xml:space="preserve"> производ</w:t>
      </w:r>
      <w:r>
        <w:softHyphen/>
        <w:t>ственные условия и наряду с повышением безопасности движения поездов обеспечивает улучшение качественных показателей эксплуатационной работы железных дорог. При этом увеличи</w:t>
      </w:r>
      <w:r>
        <w:softHyphen/>
        <w:t>вается пропускная способность перегонов и станций, повыша</w:t>
      </w:r>
      <w:r>
        <w:softHyphen/>
        <w:t xml:space="preserve">ются скоростные </w:t>
      </w:r>
      <w:proofErr w:type="gramStart"/>
      <w:r>
        <w:t>показатели</w:t>
      </w:r>
      <w:proofErr w:type="gramEnd"/>
      <w:r>
        <w:t xml:space="preserve"> и ускоряется оборот подвижного</w:t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состава.</w:t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pStyle w:val="3"/>
      </w:pPr>
      <w:r>
        <w:t>Экономическая эффективность оборудования участков железных дорог устройствами автоблокировки и диспетчерской централизации.</w:t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Повышение участковой скоро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 xml:space="preserve">сти позволяет ускорить оборот подвижного состава и в итоге высвободить для дополнительных перевозок локомотивы и вагоны. При этом экономия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поездо-часов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определяется по формуле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945640" cy="638175"/>
            <wp:effectExtent l="1905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где </w:t>
      </w:r>
      <w:proofErr w:type="spellStart"/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N</w:t>
      </w:r>
      <w:proofErr w:type="gramEnd"/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рас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расчетный размер движения поездов в сутки по участку, пар;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L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уч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длина участка, </w:t>
      </w:r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км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>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V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с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участковая скорость при существующих устройствах автома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 xml:space="preserve">тики, </w:t>
      </w:r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км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>/ч;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К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н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участковая скорость при новых устройствах автоматики, </w:t>
      </w:r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км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/ч. 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Годовая экономия денежных сре</w:t>
      </w:r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дств в р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>езультате составит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584325" cy="382905"/>
            <wp:effectExtent l="19050" t="0" r="0" b="0"/>
            <wp:docPr id="2" name="Рисунок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где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а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пч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стоимость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поездо-часа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>.</w:t>
      </w:r>
    </w:p>
    <w:p w:rsidR="001B2982" w:rsidRDefault="001B2982" w:rsidP="001B2982">
      <w:pPr>
        <w:rPr>
          <w:lang w:val="ru-RU"/>
        </w:rPr>
      </w:pP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Экономия капиталовложений на приобретение высвобождае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 xml:space="preserve">мых локомотивов в результате повышении участковой скорости и сокращения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поездо-часов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определяется из выражения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839595" cy="520700"/>
            <wp:effectExtent l="19050" t="0" r="8255" b="0"/>
            <wp:docPr id="3" name="Рисунок 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где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Ц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л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стоимости локомотива;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L</w:t>
      </w:r>
      <w:proofErr w:type="gramEnd"/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сут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суточный пробег локомотива;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gramStart"/>
      <w:r>
        <w:rPr>
          <w:rFonts w:ascii="Arial" w:hAnsi="Arial"/>
          <w:b w:val="0"/>
          <w:bCs w:val="0"/>
          <w:lang w:val="ru-RU"/>
        </w:rPr>
        <w:t>т</w:t>
      </w:r>
      <w:r>
        <w:rPr>
          <w:rFonts w:ascii="Arial" w:hAnsi="Arial"/>
          <w:b w:val="0"/>
          <w:bCs w:val="0"/>
          <w:i w:val="0"/>
          <w:iCs w:val="0"/>
          <w:lang w:val="ru-RU"/>
        </w:rPr>
        <w:t>-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коэффициент, учитывающий время нахождения локомотива на участке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t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сут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>: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977390" cy="542290"/>
            <wp:effectExtent l="19050" t="0" r="3810" b="0"/>
            <wp:docPr id="4" name="Рисунок 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lastRenderedPageBreak/>
        <w:t>1,1 - коэффициент, учитывающий нахождение части локомотивов вне работы (в ремонте или резерве).</w:t>
      </w:r>
      <w:r>
        <w:rPr>
          <w:rFonts w:ascii="Arial" w:hAnsi="Arial"/>
          <w:b w:val="0"/>
          <w:bCs w:val="0"/>
          <w:i w:val="0"/>
          <w:iCs w:val="0"/>
          <w:lang w:val="ru-RU"/>
        </w:rPr>
        <w:tab/>
        <w:t xml:space="preserve"> </w:t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Подставив выражение </w:t>
      </w:r>
      <w:r>
        <w:rPr>
          <w:rFonts w:ascii="Arial" w:hAnsi="Arial"/>
          <w:b w:val="0"/>
          <w:bCs w:val="0"/>
          <w:lang w:val="ru-RU"/>
        </w:rPr>
        <w:t>т</w:t>
      </w: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и</w:t>
      </w:r>
      <w:r>
        <w:rPr>
          <w:rFonts w:ascii="Arial" w:hAnsi="Arial"/>
          <w:b w:val="0"/>
          <w:bCs w:val="0"/>
          <w:i w:val="0"/>
          <w:iCs w:val="0"/>
          <w:lang w:val="ru-RU"/>
        </w:rPr>
        <w:tab/>
      </w:r>
      <w:proofErr w:type="spellStart"/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t</w:t>
      </w:r>
      <w:proofErr w:type="gramEnd"/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сут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 формулу получим</w:t>
      </w:r>
      <w:r>
        <w:rPr>
          <w:rFonts w:ascii="Arial" w:hAnsi="Arial"/>
          <w:b w:val="0"/>
          <w:bCs w:val="0"/>
          <w:i w:val="0"/>
          <w:iCs w:val="0"/>
          <w:lang w:val="ru-RU"/>
        </w:rPr>
        <w:tab/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403350" cy="542290"/>
            <wp:effectExtent l="19050" t="0" r="6350" b="0"/>
            <wp:docPr id="5" name="Рисунок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pStyle w:val="a3"/>
      </w:pPr>
      <w:r>
        <w:t>Экономия капиталовложений на приобретение вагонов за счет высвобождения их в результате повышения участковой ско</w:t>
      </w:r>
      <w:r>
        <w:softHyphen/>
        <w:t>рости определяется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871345" cy="542290"/>
            <wp:effectExtent l="19050" t="0" r="0" b="0"/>
            <wp:docPr id="6" name="Рисунок 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где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Ц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в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стоимость вагона;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n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количество вагонов в составе;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1,05 - коэффициент, учитывающий нахождение части вагонов в ремонте или резерве.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Таким образом, общая экономия капиталовложений в под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>вижной состав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382395" cy="414655"/>
            <wp:effectExtent l="19050" t="0" r="8255" b="0"/>
            <wp:docPr id="7" name="Рисунок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pStyle w:val="a3"/>
      </w:pPr>
      <w:r>
        <w:t>.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Повышение участковой скорости способствует также ускоре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>нию доставки грузов, вследствие чего общая стоимость массы грузов «на колеса», т, е. находящихся в процессе перевозок, уменьшается. Эффект от этого уменьшения может быть опреде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 xml:space="preserve">лен количественно при известных </w:t>
      </w:r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объеме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и стоимости перевози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>мых грузов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562735" cy="584835"/>
            <wp:effectExtent l="19050" t="0" r="0" b="0"/>
            <wp:docPr id="8" name="Рисунок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где </w:t>
      </w:r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Ц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средняя цена 1 т грузов, находящихся «на колесах»;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Р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о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динамическая нагрузка на вагон рабочего парка, т/вагон;</w:t>
      </w:r>
    </w:p>
    <w:p w:rsidR="001B2982" w:rsidRDefault="001B2982" w:rsidP="001B2982">
      <w:pPr>
        <w:pStyle w:val="a3"/>
      </w:pPr>
      <w:proofErr w:type="spellStart"/>
      <w:r>
        <w:t>n</w:t>
      </w:r>
      <w:proofErr w:type="spellEnd"/>
      <w:r>
        <w:t xml:space="preserve"> - среднее количество вагонов в составе.</w:t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При определении эффективности приходится определять разность между уменьшением фонда заработной платы по службе движения </w:t>
      </w:r>
      <w:r w:rsidRPr="00D3145A">
        <w:rPr>
          <w:rFonts w:ascii="Arial" w:hAnsi="Arial"/>
          <w:b w:val="0"/>
          <w:bCs w:val="0"/>
          <w:i w:val="0"/>
          <w:iCs w:val="0"/>
          <w:position w:val="-4"/>
          <w:lang w:val="ru-RU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2.55pt" o:ole="">
            <v:imagedata r:id="rId12" o:title=""/>
          </v:shape>
          <o:OLEObject Type="Embed" ProgID="Equation.3" ShapeID="_x0000_i1025" DrawAspect="Content" ObjectID="_1552672067" r:id="rId13"/>
        </w:objec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Ф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зпд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и увеличением фонда заработной платы по службе сигнализации и связи </w:t>
      </w:r>
      <w:r w:rsidRPr="00D3145A">
        <w:rPr>
          <w:rFonts w:ascii="Arial" w:hAnsi="Arial"/>
          <w:b w:val="0"/>
          <w:bCs w:val="0"/>
          <w:i w:val="0"/>
          <w:iCs w:val="0"/>
          <w:position w:val="-4"/>
          <w:lang w:val="ru-RU"/>
        </w:rPr>
        <w:object w:dxaOrig="220" w:dyaOrig="260">
          <v:shape id="_x0000_i1026" type="#_x0000_t75" style="width:10.9pt;height:12.55pt" o:ole="">
            <v:imagedata r:id="rId14" o:title=""/>
          </v:shape>
          <o:OLEObject Type="Embed" ProgID="Equation.3" ShapeID="_x0000_i1026" DrawAspect="Content" ObjectID="_1552672068" r:id="rId15"/>
        </w:objec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Ф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зпш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при переходе от </w:t>
      </w:r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старых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к новым устройствам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765300" cy="382905"/>
            <wp:effectExtent l="19050" t="0" r="6350" b="0"/>
            <wp:docPr id="12" name="Рисунок 1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pStyle w:val="a3"/>
      </w:pPr>
      <w:r>
        <w:lastRenderedPageBreak/>
        <w:t>В целом эксплуатационные расходы при существу</w:t>
      </w:r>
      <w:r>
        <w:softHyphen/>
        <w:t>ющих и вновь вводимых устройствах определяются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2222500" cy="797560"/>
            <wp:effectExtent l="19050" t="0" r="6350" b="0"/>
            <wp:docPr id="13" name="Рисунок 13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где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С</w:t>
      </w:r>
      <w:r>
        <w:rPr>
          <w:rFonts w:ascii="Arial" w:hAnsi="Arial"/>
          <w:b w:val="0"/>
          <w:bCs w:val="0"/>
          <w:i w:val="0"/>
          <w:iCs w:val="0"/>
          <w:vertAlign w:val="superscript"/>
          <w:lang w:val="ru-RU"/>
        </w:rPr>
        <w:t>с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экспл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,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С</w:t>
      </w:r>
      <w:r>
        <w:rPr>
          <w:rFonts w:ascii="Arial" w:hAnsi="Arial"/>
          <w:b w:val="0"/>
          <w:bCs w:val="0"/>
          <w:i w:val="0"/>
          <w:iCs w:val="0"/>
          <w:vertAlign w:val="superscript"/>
          <w:lang w:val="ru-RU"/>
        </w:rPr>
        <w:t>н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экспл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</w:t>
      </w:r>
      <w:r>
        <w:rPr>
          <w:rFonts w:ascii="Arial" w:hAnsi="Arial"/>
          <w:b w:val="0"/>
          <w:bCs w:val="0"/>
          <w:i w:val="0"/>
          <w:iCs w:val="0"/>
          <w:vertAlign w:val="superscript"/>
          <w:lang w:val="ru-RU"/>
        </w:rPr>
        <w:t xml:space="preserve"> </w:t>
      </w: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годовые эксплуатационные расходы при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существую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>щик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и вновь вводимых устройствах автоматики;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С</w:t>
      </w:r>
      <w:r>
        <w:rPr>
          <w:rFonts w:ascii="Arial" w:hAnsi="Arial"/>
          <w:b w:val="0"/>
          <w:bCs w:val="0"/>
          <w:i w:val="0"/>
          <w:iCs w:val="0"/>
          <w:vertAlign w:val="superscript"/>
          <w:lang w:val="ru-RU"/>
        </w:rPr>
        <w:t>с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а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>, С</w:t>
      </w:r>
      <w:r>
        <w:rPr>
          <w:rFonts w:ascii="Arial" w:hAnsi="Arial"/>
          <w:b w:val="0"/>
          <w:bCs w:val="0"/>
          <w:i w:val="0"/>
          <w:iCs w:val="0"/>
          <w:vertAlign w:val="superscript"/>
          <w:lang w:val="ru-RU"/>
        </w:rPr>
        <w:t>н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а</w:t>
      </w: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годовые эксплуатационные расходы на техническое обслуживание существующих и вновь вводимых устройств автоматики;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Ф</w:t>
      </w:r>
      <w:r>
        <w:rPr>
          <w:rFonts w:ascii="Arial" w:hAnsi="Arial"/>
          <w:b w:val="0"/>
          <w:bCs w:val="0"/>
          <w:i w:val="0"/>
          <w:iCs w:val="0"/>
          <w:vertAlign w:val="superscript"/>
          <w:lang w:val="ru-RU"/>
        </w:rPr>
        <w:t>с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зпш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,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Ф</w:t>
      </w:r>
      <w:r>
        <w:rPr>
          <w:rFonts w:ascii="Arial" w:hAnsi="Arial"/>
          <w:b w:val="0"/>
          <w:bCs w:val="0"/>
          <w:i w:val="0"/>
          <w:iCs w:val="0"/>
          <w:vertAlign w:val="superscript"/>
          <w:lang w:val="ru-RU"/>
        </w:rPr>
        <w:t>н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зпш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годовой фонд заработной платы работников хозяйства сигнализации и связи при существующих и вновь вводимых устройствах.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Снижение эксплуатационных расходов в результате внедрения тех или иных технических мероприятий сопоставляется ее капитальными затратами на эти мероприятия, чем и определяется срок окупаемости капитальных вложений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945640" cy="616585"/>
            <wp:effectExtent l="19050" t="0" r="0" b="0"/>
            <wp:docPr id="14" name="Рисунок 14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где</w:t>
      </w:r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К</w:t>
      </w:r>
      <w:proofErr w:type="gram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единовременные капиталовложения, связанные с внедрением но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>вой техники;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>К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ос</w:t>
      </w: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остаточная стоимость старых снимаемых устройств автомати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>ки.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pStyle w:val="21"/>
      </w:pPr>
      <w:r>
        <w:t>Экономическая эффективность оборудования станции устройствами электрической централизации.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pStyle w:val="a3"/>
      </w:pPr>
      <w:r>
        <w:t>Сокращение до минимально возможных значений станционных интервалов и времени приготовления маршрутов достигается применением на станциях централизованного управ</w:t>
      </w:r>
      <w:r>
        <w:softHyphen/>
        <w:t xml:space="preserve">ления стрелками. При этом экономия </w:t>
      </w:r>
      <w:proofErr w:type="spellStart"/>
      <w:r>
        <w:t>поездо-часов</w:t>
      </w:r>
      <w:proofErr w:type="spellEnd"/>
      <w:r>
        <w:t xml:space="preserve"> определяется по формуле</w:t>
      </w:r>
    </w:p>
    <w:p w:rsidR="001B2982" w:rsidRDefault="001B2982" w:rsidP="001B2982">
      <w:pPr>
        <w:pStyle w:val="a3"/>
        <w:ind w:firstLine="2268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2966720" cy="563245"/>
            <wp:effectExtent l="19050" t="0" r="5080" b="0"/>
            <wp:docPr id="15" name="Рисунок 1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где </w:t>
      </w:r>
      <w:proofErr w:type="spellStart"/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N</w:t>
      </w:r>
      <w:proofErr w:type="gramEnd"/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расч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расчетный размер движения поездов в сутки по станции, пар;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N</w:t>
      </w:r>
      <w:proofErr w:type="gramEnd"/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маневр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количество маневровых передвижений на станции, поездов;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proofErr w:type="spellStart"/>
      <w:proofErr w:type="gramStart"/>
      <w:r>
        <w:rPr>
          <w:rFonts w:ascii="Arial" w:hAnsi="Arial"/>
          <w:b w:val="0"/>
          <w:bCs w:val="0"/>
          <w:i w:val="0"/>
          <w:iCs w:val="0"/>
          <w:lang w:val="ru-RU"/>
        </w:rPr>
        <w:t>t</w:t>
      </w:r>
      <w:proofErr w:type="gramEnd"/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э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время, сэкономленное на продвижение одного поезда при но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>вых устройствах автоматики, мин.</w:t>
      </w:r>
    </w:p>
    <w:p w:rsidR="001B2982" w:rsidRDefault="001B2982" w:rsidP="001B2982">
      <w:pPr>
        <w:ind w:firstLine="567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lastRenderedPageBreak/>
        <w:t>Экономия капиталовложений на приобретение высвобождае</w:t>
      </w:r>
      <w:r>
        <w:rPr>
          <w:rFonts w:ascii="Arial" w:hAnsi="Arial"/>
          <w:b w:val="0"/>
          <w:bCs w:val="0"/>
          <w:i w:val="0"/>
          <w:iCs w:val="0"/>
          <w:lang w:val="ru-RU"/>
        </w:rPr>
        <w:softHyphen/>
        <w:t xml:space="preserve">мых локомотивов за счет сокращения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поездо-часов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на станции определяется формулой</w:t>
      </w:r>
    </w:p>
    <w:p w:rsidR="001B2982" w:rsidRDefault="001B2982" w:rsidP="001B2982">
      <w:pPr>
        <w:ind w:firstLine="2268"/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noProof/>
          <w:lang w:val="ru-RU"/>
        </w:rPr>
        <w:drawing>
          <wp:inline distT="0" distB="0" distL="0" distR="0">
            <wp:extent cx="1711960" cy="542290"/>
            <wp:effectExtent l="19050" t="0" r="2540" b="0"/>
            <wp:docPr id="16" name="Рисунок 1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где </w:t>
      </w:r>
      <w:proofErr w:type="spellStart"/>
      <w:r>
        <w:rPr>
          <w:rFonts w:ascii="Arial" w:hAnsi="Arial"/>
          <w:b w:val="0"/>
          <w:bCs w:val="0"/>
          <w:i w:val="0"/>
          <w:iCs w:val="0"/>
          <w:lang w:val="ru-RU"/>
        </w:rPr>
        <w:t>К</w:t>
      </w:r>
      <w:r>
        <w:rPr>
          <w:rFonts w:ascii="Arial" w:hAnsi="Arial"/>
          <w:b w:val="0"/>
          <w:bCs w:val="0"/>
          <w:i w:val="0"/>
          <w:iCs w:val="0"/>
          <w:vertAlign w:val="subscript"/>
          <w:lang w:val="ru-RU"/>
        </w:rPr>
        <w:t>э</w:t>
      </w:r>
      <w:proofErr w:type="spellEnd"/>
      <w:r>
        <w:rPr>
          <w:rFonts w:ascii="Arial" w:hAnsi="Arial"/>
          <w:b w:val="0"/>
          <w:bCs w:val="0"/>
          <w:i w:val="0"/>
          <w:iCs w:val="0"/>
          <w:lang w:val="ru-RU"/>
        </w:rPr>
        <w:t xml:space="preserve"> - коэффициент занятости локомотивов с поездами, равный 0,6 - 0,8.</w:t>
      </w:r>
    </w:p>
    <w:p w:rsidR="001B2982" w:rsidRDefault="001B2982" w:rsidP="001B2982">
      <w:pPr>
        <w:rPr>
          <w:rFonts w:ascii="Arial" w:hAnsi="Arial"/>
          <w:b w:val="0"/>
          <w:bCs w:val="0"/>
          <w:i w:val="0"/>
          <w:iCs w:val="0"/>
          <w:lang w:val="ru-RU"/>
        </w:rPr>
      </w:pPr>
    </w:p>
    <w:p w:rsidR="001B2982" w:rsidRDefault="001B2982" w:rsidP="001B2982">
      <w:pPr>
        <w:pStyle w:val="2"/>
        <w:ind w:firstLine="567"/>
      </w:pPr>
      <w:r>
        <w:t>Определение остальных показателей эффективности и срока окупаемости капитальных затрат производится по тем же фор</w:t>
      </w:r>
      <w:r>
        <w:softHyphen/>
        <w:t xml:space="preserve">мулам, что и для участков, оборудованных автоблокировкой или диспетчерской централизацией. </w:t>
      </w:r>
    </w:p>
    <w:p w:rsidR="0065345E" w:rsidRPr="001B2982" w:rsidRDefault="0065345E">
      <w:pPr>
        <w:rPr>
          <w:lang w:val="ru-RU"/>
        </w:rPr>
      </w:pPr>
    </w:p>
    <w:sectPr w:rsidR="0065345E" w:rsidRPr="001B2982" w:rsidSect="0065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2.304 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1B2982"/>
    <w:rsid w:val="001B2982"/>
    <w:rsid w:val="0065345E"/>
    <w:rsid w:val="00D3145A"/>
    <w:rsid w:val="00E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82"/>
    <w:pPr>
      <w:spacing w:after="0" w:line="240" w:lineRule="auto"/>
      <w:jc w:val="both"/>
    </w:pPr>
    <w:rPr>
      <w:rFonts w:ascii="GOST 2.304 A" w:eastAsia="Times New Roman" w:hAnsi="GOST 2.304 A" w:cs="Arial"/>
      <w:b/>
      <w:bCs/>
      <w:i/>
      <w:iCs/>
      <w:sz w:val="28"/>
      <w:szCs w:val="1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2982"/>
    <w:pPr>
      <w:ind w:firstLine="567"/>
    </w:pPr>
    <w:rPr>
      <w:rFonts w:ascii="Arial" w:hAnsi="Arial"/>
      <w:b w:val="0"/>
      <w:bCs w:val="0"/>
      <w:i w:val="0"/>
      <w:iCs w:val="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1B2982"/>
    <w:rPr>
      <w:rFonts w:ascii="Arial" w:eastAsia="Times New Roman" w:hAnsi="Arial" w:cs="Arial"/>
      <w:sz w:val="2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B2982"/>
    <w:rPr>
      <w:rFonts w:ascii="Arial" w:hAnsi="Arial"/>
      <w:b w:val="0"/>
      <w:bCs w:val="0"/>
      <w:i w:val="0"/>
      <w:iCs w:val="0"/>
      <w:lang w:val="ru-RU"/>
    </w:rPr>
  </w:style>
  <w:style w:type="character" w:customStyle="1" w:styleId="20">
    <w:name w:val="Основной текст 2 Знак"/>
    <w:basedOn w:val="a0"/>
    <w:link w:val="2"/>
    <w:semiHidden/>
    <w:rsid w:val="001B2982"/>
    <w:rPr>
      <w:rFonts w:ascii="Arial" w:eastAsia="Times New Roman" w:hAnsi="Arial" w:cs="Arial"/>
      <w:sz w:val="2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1B2982"/>
    <w:pPr>
      <w:jc w:val="center"/>
    </w:pPr>
    <w:rPr>
      <w:rFonts w:ascii="Arial" w:hAnsi="Arial"/>
      <w:b w:val="0"/>
      <w:bCs w:val="0"/>
      <w:i w:val="0"/>
      <w:iCs w:val="0"/>
      <w:lang w:val="ru-RU"/>
    </w:rPr>
  </w:style>
  <w:style w:type="character" w:customStyle="1" w:styleId="30">
    <w:name w:val="Основной текст 3 Знак"/>
    <w:basedOn w:val="a0"/>
    <w:link w:val="3"/>
    <w:semiHidden/>
    <w:rsid w:val="001B2982"/>
    <w:rPr>
      <w:rFonts w:ascii="Arial" w:eastAsia="Times New Roman" w:hAnsi="Arial" w:cs="Arial"/>
      <w:sz w:val="2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1B2982"/>
    <w:pPr>
      <w:ind w:firstLine="567"/>
      <w:jc w:val="center"/>
    </w:pPr>
    <w:rPr>
      <w:rFonts w:ascii="Arial" w:hAnsi="Arial"/>
      <w:b w:val="0"/>
      <w:bCs w:val="0"/>
      <w:i w:val="0"/>
      <w:iCs w:val="0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1B2982"/>
    <w:rPr>
      <w:rFonts w:ascii="Arial" w:eastAsia="Times New Roman" w:hAnsi="Arial" w:cs="Arial"/>
      <w:sz w:val="2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82"/>
    <w:rPr>
      <w:rFonts w:ascii="Tahoma" w:eastAsia="Times New Roman" w:hAnsi="Tahoma" w:cs="Tahoma"/>
      <w:b/>
      <w:bCs/>
      <w:i/>
      <w:i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5</cp:revision>
  <dcterms:created xsi:type="dcterms:W3CDTF">2017-03-29T16:14:00Z</dcterms:created>
  <dcterms:modified xsi:type="dcterms:W3CDTF">2017-04-02T18:01:00Z</dcterms:modified>
</cp:coreProperties>
</file>